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8E6266">
        <w:rPr>
          <w:rFonts w:ascii="Verdana" w:hAnsi="Verdana"/>
          <w:b/>
          <w:sz w:val="18"/>
          <w:szCs w:val="18"/>
        </w:rPr>
        <w:t>„</w:t>
      </w:r>
      <w:r w:rsidR="008E6266" w:rsidRPr="008E6266">
        <w:rPr>
          <w:rFonts w:ascii="Verdana" w:hAnsi="Verdana"/>
          <w:b/>
          <w:sz w:val="18"/>
          <w:szCs w:val="18"/>
        </w:rPr>
        <w:t>Oprava geometrických parametrů koleje 2020 u ST Ústí nad Labem</w:t>
      </w:r>
      <w:r w:rsidRPr="008E6266">
        <w:rPr>
          <w:rFonts w:ascii="Verdana" w:hAnsi="Verdana"/>
          <w:b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E626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E6266" w:rsidRPr="008E626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E6266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D10725"/>
  <w15:docId w15:val="{C5EDD493-3661-40E6-86D5-1F7A0E70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E42183-A998-4360-8B4E-2DFE3B06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2020-05-25T08:41:00Z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